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55" w:rsidRPr="00FD2955" w:rsidRDefault="00FD2955" w:rsidP="00FD2955">
      <w:pPr>
        <w:shd w:val="clear" w:color="auto" w:fill="FFFFFF"/>
        <w:spacing w:after="0" w:line="270" w:lineRule="atLeast"/>
        <w:jc w:val="right"/>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ЗАТВЕРДЖЕНО</w:t>
      </w:r>
      <w:r w:rsidRPr="00FD2955">
        <w:rPr>
          <w:rFonts w:ascii="Arial" w:eastAsia="Times New Roman" w:hAnsi="Arial" w:cs="Arial"/>
          <w:color w:val="000000"/>
          <w:sz w:val="21"/>
          <w:szCs w:val="21"/>
          <w:lang w:eastAsia="uk-UA"/>
        </w:rPr>
        <w:br/>
        <w:t>постановою Кабінету Міністрів України</w:t>
      </w:r>
      <w:r w:rsidRPr="00FD2955">
        <w:rPr>
          <w:rFonts w:ascii="Arial" w:eastAsia="Times New Roman" w:hAnsi="Arial" w:cs="Arial"/>
          <w:color w:val="000000"/>
          <w:sz w:val="21"/>
          <w:szCs w:val="21"/>
          <w:lang w:eastAsia="uk-UA"/>
        </w:rPr>
        <w:br/>
        <w:t>від 23 листопада 2011 р. №1392</w:t>
      </w:r>
    </w:p>
    <w:p w:rsidR="00FD2955" w:rsidRPr="00FD2955" w:rsidRDefault="00FD2955" w:rsidP="00FD2955">
      <w:pPr>
        <w:shd w:val="clear" w:color="auto" w:fill="FFFFFF"/>
        <w:spacing w:after="0" w:line="270" w:lineRule="atLeast"/>
        <w:jc w:val="center"/>
        <w:outlineLvl w:val="1"/>
        <w:rPr>
          <w:rFonts w:ascii="Arial" w:eastAsia="Times New Roman" w:hAnsi="Arial" w:cs="Arial"/>
          <w:b/>
          <w:bCs/>
          <w:color w:val="000000"/>
          <w:sz w:val="21"/>
          <w:szCs w:val="21"/>
          <w:lang w:eastAsia="uk-UA"/>
        </w:rPr>
      </w:pPr>
      <w:r w:rsidRPr="00FD2955">
        <w:rPr>
          <w:rFonts w:ascii="Arial" w:eastAsia="Times New Roman" w:hAnsi="Arial" w:cs="Arial"/>
          <w:b/>
          <w:bCs/>
          <w:color w:val="000000"/>
          <w:sz w:val="21"/>
          <w:lang w:eastAsia="uk-UA"/>
        </w:rPr>
        <w:t>ДЕРЖАВНИЙ СТАНДАРТ</w:t>
      </w:r>
      <w:r w:rsidRPr="00FD2955">
        <w:rPr>
          <w:rFonts w:ascii="Arial" w:eastAsia="Times New Roman" w:hAnsi="Arial" w:cs="Arial"/>
          <w:b/>
          <w:bCs/>
          <w:color w:val="000000"/>
          <w:sz w:val="21"/>
          <w:szCs w:val="21"/>
          <w:bdr w:val="none" w:sz="0" w:space="0" w:color="auto" w:frame="1"/>
          <w:lang w:eastAsia="uk-UA"/>
        </w:rPr>
        <w:br/>
      </w:r>
      <w:r w:rsidRPr="00FD2955">
        <w:rPr>
          <w:rFonts w:ascii="Arial" w:eastAsia="Times New Roman" w:hAnsi="Arial" w:cs="Arial"/>
          <w:b/>
          <w:bCs/>
          <w:color w:val="000000"/>
          <w:sz w:val="21"/>
          <w:lang w:eastAsia="uk-UA"/>
        </w:rPr>
        <w:t>базової і повної загальної середньої освіти</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I. Загальна частина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II і III ступеня (далі - загальноосвітні заклади) і визначає вимоги до освіченості учнів основної і старшої школи.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цьому Державному стандарті поняття вживаються у такому значенні: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2) діяльнісний підхід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3) 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7) ключова компетенція - певний рівень знань, умінь, навичок, ставлень, які можна застосувати у сфері діяльності людини;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8) компетентнісний підхід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10) компетенція - суспільно визнаний рівень знань, умінь, навичок, ставлень у певній сфері діяльності людини;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12) міжпредметна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13)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15) особистісно зорієнтований підхід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16)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17)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19) 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20)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Цей Державний стандарт ґрунтується на засадах особистісно зорієнтованого, компетентнісного і діяльнісного підходів, що реалізовані в освітніх галузях і відображені в результативних складових змісту базової і повної загальної середньої освіти.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При цьому особистісно зорієнтований підхід до навчання забезпечує розвиток академічних, соціокультурних, соціально-психологічних та інших здібностей учнів.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Компетентнісний підхід сприяє формуванню ключових і предметних компетентностей.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цьому 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Цей Державний стандарт складається із:</w:t>
      </w:r>
    </w:p>
    <w:p w:rsidR="00FD2955" w:rsidRPr="00FD2955" w:rsidRDefault="00FD2955" w:rsidP="00FD2955">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загальної характеристики складових змісту освіти;</w:t>
      </w:r>
    </w:p>
    <w:p w:rsidR="00FD2955" w:rsidRPr="00FD2955" w:rsidRDefault="00FD2955" w:rsidP="00FD2955">
      <w:pPr>
        <w:numPr>
          <w:ilvl w:val="0"/>
          <w:numId w:val="1"/>
        </w:numPr>
        <w:shd w:val="clear" w:color="auto" w:fill="FFFFFF"/>
        <w:spacing w:after="0" w:line="270" w:lineRule="atLeast"/>
        <w:ind w:left="0"/>
        <w:jc w:val="both"/>
        <w:rPr>
          <w:rFonts w:ascii="Arial" w:eastAsia="Times New Roman" w:hAnsi="Arial" w:cs="Arial"/>
          <w:color w:val="000000"/>
          <w:sz w:val="21"/>
          <w:szCs w:val="21"/>
          <w:lang w:eastAsia="uk-UA"/>
        </w:rPr>
      </w:pPr>
      <w:hyperlink r:id="rId5" w:tgtFrame="_blank" w:history="1">
        <w:r w:rsidRPr="00FD2955">
          <w:rPr>
            <w:rFonts w:ascii="Arial" w:eastAsia="Times New Roman" w:hAnsi="Arial" w:cs="Arial"/>
            <w:color w:val="8C8282"/>
            <w:sz w:val="21"/>
            <w:lang w:eastAsia="uk-UA"/>
          </w:rPr>
          <w:t>Базового навчального плану загальноосвітніх навчальних закладів II-III ступеня</w:t>
        </w:r>
      </w:hyperlink>
      <w:r w:rsidRPr="00FD2955">
        <w:rPr>
          <w:rFonts w:ascii="Arial" w:eastAsia="Times New Roman" w:hAnsi="Arial" w:cs="Arial"/>
          <w:color w:val="000000"/>
          <w:sz w:val="21"/>
          <w:lang w:eastAsia="uk-UA"/>
        </w:rPr>
        <w:t> </w:t>
      </w:r>
      <w:r w:rsidRPr="00FD2955">
        <w:rPr>
          <w:rFonts w:ascii="Arial" w:eastAsia="Times New Roman" w:hAnsi="Arial" w:cs="Arial"/>
          <w:color w:val="000000"/>
          <w:sz w:val="21"/>
          <w:szCs w:val="21"/>
          <w:lang w:eastAsia="uk-UA"/>
        </w:rPr>
        <w:t>згідно з додатком 1 (далі - Базовий навчальний план);</w:t>
      </w:r>
    </w:p>
    <w:p w:rsidR="00FD2955" w:rsidRPr="00FD2955" w:rsidRDefault="00FD2955" w:rsidP="00FD2955">
      <w:pPr>
        <w:numPr>
          <w:ilvl w:val="0"/>
          <w:numId w:val="1"/>
        </w:numPr>
        <w:shd w:val="clear" w:color="auto" w:fill="FFFFFF"/>
        <w:spacing w:after="0" w:line="270" w:lineRule="atLeast"/>
        <w:ind w:left="0"/>
        <w:jc w:val="both"/>
        <w:rPr>
          <w:rFonts w:ascii="Arial" w:eastAsia="Times New Roman" w:hAnsi="Arial" w:cs="Arial"/>
          <w:color w:val="000000"/>
          <w:sz w:val="21"/>
          <w:szCs w:val="21"/>
          <w:lang w:eastAsia="uk-UA"/>
        </w:rPr>
      </w:pPr>
      <w:hyperlink r:id="rId6" w:tgtFrame="_blank" w:history="1">
        <w:r w:rsidRPr="00FD2955">
          <w:rPr>
            <w:rFonts w:ascii="Arial" w:eastAsia="Times New Roman" w:hAnsi="Arial" w:cs="Arial"/>
            <w:color w:val="8C8282"/>
            <w:sz w:val="21"/>
            <w:lang w:eastAsia="uk-UA"/>
          </w:rPr>
          <w:t>державних вимог до рівня загальноосвітньої підготовки учнів</w:t>
        </w:r>
      </w:hyperlink>
      <w:r w:rsidRPr="00FD2955">
        <w:rPr>
          <w:rFonts w:ascii="Arial" w:eastAsia="Times New Roman" w:hAnsi="Arial" w:cs="Arial"/>
          <w:color w:val="000000"/>
          <w:sz w:val="21"/>
          <w:lang w:eastAsia="uk-UA"/>
        </w:rPr>
        <w:t> </w:t>
      </w:r>
      <w:r w:rsidRPr="00FD2955">
        <w:rPr>
          <w:rFonts w:ascii="Arial" w:eastAsia="Times New Roman" w:hAnsi="Arial" w:cs="Arial"/>
          <w:color w:val="000000"/>
          <w:sz w:val="21"/>
          <w:szCs w:val="21"/>
          <w:lang w:eastAsia="uk-UA"/>
        </w:rPr>
        <w:t>згідно з додатком 2.</w:t>
      </w:r>
    </w:p>
    <w:p w:rsidR="00FD2955" w:rsidRPr="00FD2955" w:rsidRDefault="00FD2955" w:rsidP="00FD2955">
      <w:pPr>
        <w:shd w:val="clear" w:color="auto" w:fill="FFFFFF"/>
        <w:spacing w:after="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Цей Державний стандарт розроблений на основі</w:t>
      </w:r>
      <w:r w:rsidRPr="00FD2955">
        <w:rPr>
          <w:rFonts w:ascii="Arial" w:eastAsia="Times New Roman" w:hAnsi="Arial" w:cs="Arial"/>
          <w:color w:val="000000"/>
          <w:sz w:val="21"/>
          <w:lang w:eastAsia="uk-UA"/>
        </w:rPr>
        <w:t> </w:t>
      </w:r>
      <w:hyperlink r:id="rId7" w:tgtFrame="_blank" w:tooltip="Державний стандарт початкової загальної освіти" w:history="1">
        <w:r w:rsidRPr="00FD2955">
          <w:rPr>
            <w:rFonts w:ascii="Arial" w:eastAsia="Times New Roman" w:hAnsi="Arial" w:cs="Arial"/>
            <w:color w:val="8C8282"/>
            <w:sz w:val="21"/>
            <w:lang w:eastAsia="uk-UA"/>
          </w:rPr>
          <w:t>Державного стандарту початкової загальної освіти</w:t>
        </w:r>
      </w:hyperlink>
      <w:r w:rsidRPr="00FD2955">
        <w:rPr>
          <w:rFonts w:ascii="Arial" w:eastAsia="Times New Roman" w:hAnsi="Arial" w:cs="Arial"/>
          <w:color w:val="000000"/>
          <w:sz w:val="21"/>
          <w:szCs w:val="21"/>
          <w:lang w:eastAsia="uk-UA"/>
        </w:rPr>
        <w:t>, затвердженого постановою Кабінету Міністрів України від 20 квітня 2011 р. № 462 (Офіційний вісник України, 2011 р., № 33, ст. 1378), із спрямуванням освітніх галузей на розвиток сформованих і формування нових предметних (галузевих) компетентностей.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Предметні (галузеві) компетентності стосуються змісту конкретної освітньої галузі чи предмета, і для їх опису використовуються такі ключові поняття: "знає і розуміє", "уміє і застосовує", "виявляє ставлення і оцінює" тощо.</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Цей Державний стандарт включає такі освітні галузі, як "Мови і літератури", "Суспільствознавство", "Мистецтво", "Математика", "Природознавство", "Технології", "Здоров’я і фізична культура", зміст яких  послідовно взаємозв’язаний із змістом відповідних освітніх галузей Державного стандарту початкової загальної освіти.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освітніх галузей, їх складові, державні вимоги до рівня загальноосвітньої підготовки учнів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програми яких затверджує МОНмолодьспорт.</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Визначальним для системи вітчизняної загальної середньої освіти є українознавче спрямування всіх освітніх галузей.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Варіативність методик організації навчання, а також наявність в учнів можливості обирати курси за вибором залежно від власних пізнавальних здібностей дають змогу застосовувати особистісно зорієнтований, компетентнісний і діяльнісний підходи.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відповідно до загальної кількості годин, передбачених для кожної галузі, або шляхом застосування модульної технології.</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Інваріантна складова Базового навчального плану формується на державному рівні і є обов’язковою для реалізації в усіх навчальних закладах, що дають повну загальну середню освіту.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Освітня потреба старшокласників у профільному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профільність навчання, а також професійно-технічних навчальних закладів, коледжів. Крім того, освітня потреба учнів старшої школи у профільному навчанні може задовольнятися в межах освітніх округів.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МОНмолодьспортом.</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У старшій школі співвідношення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Варіативна складова Базового навчального плану формується загальноосвітнім закладом з урахуванням особливостей регіону та індивідуальних освітніх запитів учнів.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 основі цього Державного стандарту МОНмолодьспорт організовує розроблення і проводить апробацію навчальних програм, які затверджуються в установленому порядку.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Навчальна програма розробляється з урахуванням науково обґрунтованих вимог, що є спільними для всіх навчальних предметів.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Варіативні навчальні програми розробляються з урахуванням потреб різних регіонів і науково-методичних пріоритетів учителя.</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 основі Базового навчального плану, який визначає загальні засади організації навчально-виховного процесу у загальноосвітніх закладах, МОНмолодьспорт розробляє типові навчальні плани, в яких зміст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Бюджетне фінансування загальноосвітнього закладу здійснюється з урахуванням установленої Базовим навчальним планом сумарної кількості годин інваріантної та варіативної складових і можливості у процесі вивчення окремих предметів поділу класу на групи.</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II. Освітня галузь "Мови і літератури"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Освітня галузь складається з мовного і літературного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Наскрізними змістовими лініями мовного компонента є мовленнєва, мовна, соціокультурна і діяльнісна.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Мовна лінія передбачає формування мовної компетентності шляхом  засвоєння системних знань про мову як засіб вираження думок і почуттів.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Соціокультурна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Діяльнісна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 xml:space="preserve">Стратегічно важлива для мовного компонента комунікативна компетентність, яка є невід’ємною складовою структури змісту освіти,  передбачає оволодіння всіма видами мовленнєвої </w:t>
      </w:r>
      <w:r w:rsidRPr="00FD2955">
        <w:rPr>
          <w:rFonts w:ascii="Arial" w:eastAsia="Times New Roman" w:hAnsi="Arial" w:cs="Arial"/>
          <w:color w:val="000000"/>
          <w:sz w:val="21"/>
          <w:szCs w:val="21"/>
          <w:lang w:eastAsia="uk-UA"/>
        </w:rPr>
        <w:lastRenderedPageBreak/>
        <w:t>діяльності, основами культури усного і писемного мовлення, базовими вміннями і навичками використання мови в різних сферах і ситуаціях.</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Для мовного компонента важливими є також такі предметні компетентності, як мовленнєва, мовна, соціокультурна і діяльнісна (стратегічна).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Складовими літературного компонента є емоційно-ціннісна, літературознавча, загальнокультурна і компаративна лінії.</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різних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 xml:space="preserve">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w:t>
      </w:r>
      <w:r w:rsidRPr="00FD2955">
        <w:rPr>
          <w:rFonts w:ascii="Arial" w:eastAsia="Times New Roman" w:hAnsi="Arial" w:cs="Arial"/>
          <w:color w:val="000000"/>
          <w:sz w:val="21"/>
          <w:szCs w:val="21"/>
          <w:lang w:eastAsia="uk-UA"/>
        </w:rPr>
        <w:lastRenderedPageBreak/>
        <w:t>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Вивчення літератур національних меншин сприяє усвідомленню учнями розмаїття культурного багатства нашої держави, а світової літератури - залученню учнів до загальнолюдських цінностей, вихованню толерантного ставлення до різних народів, народностей, рас і культур.</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Основна школа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в основній школі є:</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з мовною системою і формування на її основі базових лексичних, граматичних, стилістичних, орфоепічних, правописних умінь і навичок;</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вироблення вмінь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комунікативної і літературної компетентностей;</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із здобутками художньої оригінальної та перекладної літератури;</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rsidR="00FD2955" w:rsidRPr="00FD2955" w:rsidRDefault="00FD2955" w:rsidP="00FD2955">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Старша школа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 xml:space="preserve">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w:t>
      </w:r>
      <w:r w:rsidRPr="00FD2955">
        <w:rPr>
          <w:rFonts w:ascii="Arial" w:eastAsia="Times New Roman" w:hAnsi="Arial" w:cs="Arial"/>
          <w:color w:val="000000"/>
          <w:sz w:val="21"/>
          <w:szCs w:val="21"/>
          <w:lang w:eastAsia="uk-UA"/>
        </w:rPr>
        <w:lastRenderedPageBreak/>
        <w:t>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в старшій школі є:</w:t>
      </w:r>
    </w:p>
    <w:p w:rsidR="00FD2955" w:rsidRPr="00FD2955" w:rsidRDefault="00FD2955" w:rsidP="00FD2955">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FD2955" w:rsidRPr="00FD2955" w:rsidRDefault="00FD2955" w:rsidP="00FD2955">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FD2955" w:rsidRPr="00FD2955" w:rsidRDefault="00FD2955" w:rsidP="00FD2955">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FD2955" w:rsidRPr="00FD2955" w:rsidRDefault="00FD2955" w:rsidP="00FD2955">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FD2955" w:rsidRPr="00FD2955" w:rsidRDefault="00FD2955" w:rsidP="00FD2955">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III. Освітня галузь “Суспільствознавство”</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є:</w:t>
      </w:r>
    </w:p>
    <w:p w:rsidR="00FD2955" w:rsidRPr="00FD2955" w:rsidRDefault="00FD2955" w:rsidP="00FD2955">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FD2955" w:rsidRPr="00FD2955" w:rsidRDefault="00FD2955" w:rsidP="00FD2955">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FD2955" w:rsidRPr="00FD2955" w:rsidRDefault="00FD2955" w:rsidP="00FD2955">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Історичний компонент</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Історичний компонент забезпечує:</w:t>
      </w:r>
    </w:p>
    <w:p w:rsidR="00FD2955" w:rsidRPr="00FD2955" w:rsidRDefault="00FD2955" w:rsidP="00FD2955">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інтересу учнів до історії як сфери знань і навчального предмета, власних освітніх запитів учнів і вміння їх задовольняти;</w:t>
      </w:r>
    </w:p>
    <w:p w:rsidR="00FD2955" w:rsidRPr="00FD2955" w:rsidRDefault="00FD2955" w:rsidP="00FD2955">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отримання та засвоєння системних знань про головні події, явища та тенденції в історії України та світу;</w:t>
      </w:r>
    </w:p>
    <w:p w:rsidR="00FD2955" w:rsidRPr="00FD2955" w:rsidRDefault="00FD2955" w:rsidP="00FD2955">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FD2955" w:rsidRPr="00FD2955" w:rsidRDefault="00FD2955" w:rsidP="00FD2955">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FD2955" w:rsidRPr="00FD2955" w:rsidRDefault="00FD2955" w:rsidP="00FD2955">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контраверсійні і суперечливі теми.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Суспільствознавчий компонент</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суспільствознавчої освіти є:</w:t>
      </w:r>
    </w:p>
    <w:p w:rsidR="00FD2955" w:rsidRPr="00FD2955" w:rsidRDefault="00FD2955" w:rsidP="00FD2955">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інтересу до суспільствознавства;</w:t>
      </w:r>
    </w:p>
    <w:p w:rsidR="00FD2955" w:rsidRPr="00FD2955" w:rsidRDefault="00FD2955" w:rsidP="00FD2955">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FD2955" w:rsidRPr="00FD2955" w:rsidRDefault="00FD2955" w:rsidP="00FD2955">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здійснення самостійного пошуку у різних видах джерел інформації про життя суспільства і людини в ньому;</w:t>
      </w:r>
    </w:p>
    <w:p w:rsidR="00FD2955" w:rsidRPr="00FD2955" w:rsidRDefault="00FD2955" w:rsidP="00FD2955">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IV. Освітня галузь "Мистецтво"</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 xml:space="preserve">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w:t>
      </w:r>
      <w:r w:rsidRPr="00FD2955">
        <w:rPr>
          <w:rFonts w:ascii="Arial" w:eastAsia="Times New Roman" w:hAnsi="Arial" w:cs="Arial"/>
          <w:color w:val="000000"/>
          <w:sz w:val="21"/>
          <w:szCs w:val="21"/>
          <w:lang w:eastAsia="uk-UA"/>
        </w:rPr>
        <w:lastRenderedPageBreak/>
        <w:t>єдиної основи світогляду, а також здатності до художньо-творчої самореалізації і культурного самовираження.</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галузями є:</w:t>
      </w:r>
    </w:p>
    <w:p w:rsidR="00FD2955" w:rsidRPr="00FD2955" w:rsidRDefault="00FD2955" w:rsidP="00FD2955">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оволодіння системою вмінь і навичок у галузі мистецтва, формування світогляду, креативних і комунікативних якостей;</w:t>
      </w:r>
    </w:p>
    <w:p w:rsidR="00FD2955" w:rsidRPr="00FD2955" w:rsidRDefault="00FD2955" w:rsidP="00FD2955">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вмінь і навичок аналізувати, інтерпретувати та оцінювати твори мистецтва, виявляти їх національну своєрідність;</w:t>
      </w:r>
    </w:p>
    <w:p w:rsidR="00FD2955" w:rsidRPr="00FD2955" w:rsidRDefault="00FD2955" w:rsidP="00FD2955">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збагачення духовного світу учнів у результаті вивчення творів мистецтва;</w:t>
      </w:r>
    </w:p>
    <w:p w:rsidR="00FD2955" w:rsidRPr="00FD2955" w:rsidRDefault="00FD2955" w:rsidP="00FD2955">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ціннісного ставлення до дійсності і творів мистецтва, розвиток емоційно-почуттєвої сфери учнів;</w:t>
      </w:r>
    </w:p>
    <w:p w:rsidR="00FD2955" w:rsidRPr="00FD2955" w:rsidRDefault="00FD2955" w:rsidP="00FD2955">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виховання здатності до художньої самореалізації, культурного самовираження, задоволення потреби в мистецькій самоосвіті.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Змістовими лініями освітньої галузі є музична, образотворча, культурологічна.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V. Освітня галузь "Математика"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є:</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логічного, критичного і творчого мислення учнів, здатності чітко та аргументовано формулювати і висловлювати свої судження;</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 xml:space="preserve">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w:t>
      </w:r>
      <w:r w:rsidRPr="00FD2955">
        <w:rPr>
          <w:rFonts w:ascii="Arial" w:eastAsia="Times New Roman" w:hAnsi="Arial" w:cs="Arial"/>
          <w:color w:val="000000"/>
          <w:sz w:val="21"/>
          <w:szCs w:val="21"/>
          <w:lang w:eastAsia="uk-UA"/>
        </w:rPr>
        <w:lastRenderedPageBreak/>
        <w:t>джерела, виокремлювати головне, аналізувати, робити висновки, використовувати отриману інформацію в особистому житті;</w:t>
      </w:r>
    </w:p>
    <w:p w:rsidR="00FD2955" w:rsidRPr="00FD2955" w:rsidRDefault="00FD2955" w:rsidP="00FD2955">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Основна школа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що визначають зміст математичної освіти в основній школі, є:</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оволодіння учнями мовою геометрії, розвиток просторового уявлення, умінь виконувати геометричні побудови;</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із способами і методами математичних доведень, формування умінь використовувати їх у процесі навчання;</w:t>
      </w:r>
    </w:p>
    <w:p w:rsidR="00FD2955" w:rsidRPr="00FD2955" w:rsidRDefault="00FD2955" w:rsidP="00FD2955">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Старша школа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що визначають зміст математичної освіти у старшій школі, є:</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завершення формування поняття числової функції у результаті вивчення степеневих, показникових, тригонометричних класів функцій, формування вмінь їх досліджувати і використовувати для опису і вивчення явищ і процесів;</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з ідеями і методами диференціального та інтегрального обчислення, формування елементарних умінь їх практичного застосування;</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FD2955" w:rsidRPr="00FD2955" w:rsidRDefault="00FD2955" w:rsidP="00FD2955">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уявлення про аксіоматичну побудову математичних теорій.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VI. Освітня галузь "Природознавство"</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є:</w:t>
      </w:r>
    </w:p>
    <w:p w:rsidR="00FD2955" w:rsidRPr="00FD2955" w:rsidRDefault="00FD2955" w:rsidP="00FD2955">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FD2955" w:rsidRPr="00FD2955" w:rsidRDefault="00FD2955" w:rsidP="00FD2955">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забезпечення усвідомлення учнями фундаментальних ідей і принципів природничих наук;</w:t>
      </w:r>
    </w:p>
    <w:p w:rsidR="00FD2955" w:rsidRPr="00FD2955" w:rsidRDefault="00FD2955" w:rsidP="00FD2955">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набуття досвіду практичної та експериментальної діяльності, здатності застосовувати знання у процесі пізнання світу;</w:t>
      </w:r>
    </w:p>
    <w:p w:rsidR="00FD2955" w:rsidRPr="00FD2955" w:rsidRDefault="00FD2955" w:rsidP="00FD2955">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ціннісних орієнтацій на збереження природи, гармонійну взаємодію людини і природи, а також ідей сталого розвитку.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Загальними змістовими лініями освітньої галузі є:</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закони і закономірності природи;</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методи наукового пізнання, специфічні для кожної з природничих наук;</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екологічні основи ставлення до природокористування;</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екологічна етика;</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значення природничо-наукових знань у житті людини та їх роль у суспільному розвитку;</w:t>
      </w:r>
    </w:p>
    <w:p w:rsidR="00FD2955" w:rsidRPr="00FD2955" w:rsidRDefault="00FD2955" w:rsidP="00FD2955">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Загальноприродничий компонент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VII. Освітня галузь "Технології"</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Освітня галузь складається з інформаційно-комунікаційного та технологічного компонентів.</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Зміст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Інформаційно-комунікаційний компонент</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FD2955" w:rsidRPr="00FD2955" w:rsidRDefault="00FD2955" w:rsidP="00FD2955">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здійснювати пошук необхідної інформації з використанням пошукових і експертних систем, зокрема Інтернету;</w:t>
      </w:r>
    </w:p>
    <w:p w:rsidR="00FD2955" w:rsidRPr="00FD2955" w:rsidRDefault="00FD2955" w:rsidP="00FD2955">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FD2955" w:rsidRPr="00FD2955" w:rsidRDefault="00FD2955" w:rsidP="00FD2955">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висувати і перевіряти нескладні гіпотези навчально-пізнавального характеру, створювати, вивчати та використовувати інформаційні об’єкти;</w:t>
      </w:r>
    </w:p>
    <w:p w:rsidR="00FD2955" w:rsidRPr="00FD2955" w:rsidRDefault="00FD2955" w:rsidP="00FD2955">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використовувати засоби інформаційно-комунікаційних технологій для обміну інформацією, спілкування;</w:t>
      </w:r>
    </w:p>
    <w:p w:rsidR="00FD2955" w:rsidRPr="00FD2955" w:rsidRDefault="00FD2955" w:rsidP="00FD2955">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планувати, організовувати індивідуальну і колективну діяльність в інформаційному середовищі.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галузі теоретичної інформатики учні:</w:t>
      </w:r>
    </w:p>
    <w:p w:rsidR="00FD2955" w:rsidRPr="00FD2955" w:rsidRDefault="00FD2955" w:rsidP="00FD2955">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вивчають, аналізують інформаційні процеси, що відбуваються у живій природі, суспільстві та техніці;</w:t>
      </w:r>
    </w:p>
    <w:p w:rsidR="00FD2955" w:rsidRPr="00FD2955" w:rsidRDefault="00FD2955" w:rsidP="00FD2955">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одержують уявлення про основи управління, прийняття рішень, основні принципи роботи засобів інформаційних технологій;</w:t>
      </w:r>
    </w:p>
    <w:p w:rsidR="00FD2955" w:rsidRPr="00FD2955" w:rsidRDefault="00FD2955" w:rsidP="00FD2955">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ознайомлюються з інформаційним моделюванням;</w:t>
      </w:r>
    </w:p>
    <w:p w:rsidR="00FD2955" w:rsidRPr="00FD2955" w:rsidRDefault="00FD2955" w:rsidP="00FD2955">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розвивають алгоритмічне мислення як засіб планування, організації діяльності.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 галузі соціальної інформатики учні:</w:t>
      </w:r>
    </w:p>
    <w:p w:rsidR="00FD2955" w:rsidRPr="00FD2955" w:rsidRDefault="00FD2955" w:rsidP="00FD2955">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FD2955" w:rsidRPr="00FD2955" w:rsidRDefault="00FD2955" w:rsidP="00FD2955">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засвоюють юридичні та морально-етичні норми роботи з інформаційними даними і програмними продуктами;</w:t>
      </w:r>
    </w:p>
    <w:p w:rsidR="00FD2955" w:rsidRPr="00FD2955" w:rsidRDefault="00FD2955" w:rsidP="00FD2955">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отримують уявлення про інформаційну безпеку суспільства та особистості.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навчання інформатики у старшій школі є формування в учнів здатності:</w:t>
      </w:r>
    </w:p>
    <w:p w:rsidR="00FD2955" w:rsidRPr="00FD2955" w:rsidRDefault="00FD2955" w:rsidP="00FD2955">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виявляти та аналізувати інформаційні процеси в технічних, біологічних і соціальних системах;</w:t>
      </w:r>
    </w:p>
    <w:p w:rsidR="00FD2955" w:rsidRPr="00FD2955" w:rsidRDefault="00FD2955" w:rsidP="00FD2955">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будувати і використовувати інформаційні моделі, а також засоби опису та моделювання явищ і процесів.</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Технологічний компонент</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навчання технологій є:</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цілісного уявлення про розвиток матеріального виробництва, роль техніки, проектування і технологій у розвитку суспільства;</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здатності розвивати надбання рідної культури з використанням засобів декоративно-ужиткового мистецтва;</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набуття учнями досвіду провадження технологічної діяльності, партнерської взаємодії і ціннісних ставлень до трудових традицій;</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розвиток технологічних умінь і навичок учнів;</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усвідомлення учнями значущості ролі технологій як практичного втілення наукових знань;</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реалізація здібностей та інтересів учнів у сфері технологічної діяльності;</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створення умов для самореалізації, розвитку підприємливості та професійного самовизначення кожного учня;</w:t>
      </w:r>
    </w:p>
    <w:p w:rsidR="00FD2955" w:rsidRPr="00FD2955" w:rsidRDefault="00FD2955" w:rsidP="00FD2955">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оволодіння вмінням оцінювати власні результати предметно-перетворювальної діяльності та рівня сформованості ключових і предметних компетентностей.</w:t>
      </w:r>
    </w:p>
    <w:p w:rsidR="00FD2955" w:rsidRPr="00FD2955" w:rsidRDefault="00FD2955" w:rsidP="00FD2955">
      <w:pPr>
        <w:shd w:val="clear" w:color="auto" w:fill="FFFFFF"/>
        <w:spacing w:after="0" w:line="270" w:lineRule="atLeast"/>
        <w:jc w:val="center"/>
        <w:rPr>
          <w:rFonts w:ascii="Arial" w:eastAsia="Times New Roman" w:hAnsi="Arial" w:cs="Arial"/>
          <w:color w:val="000000"/>
          <w:sz w:val="21"/>
          <w:szCs w:val="21"/>
          <w:lang w:eastAsia="uk-UA"/>
        </w:rPr>
      </w:pPr>
      <w:r w:rsidRPr="00FD2955">
        <w:rPr>
          <w:rFonts w:ascii="Arial" w:eastAsia="Times New Roman" w:hAnsi="Arial" w:cs="Arial"/>
          <w:b/>
          <w:bCs/>
          <w:color w:val="000000"/>
          <w:sz w:val="21"/>
          <w:lang w:eastAsia="uk-UA"/>
        </w:rPr>
        <w:t>VIII. Освітня галузь "Здоров’я і фізична культура"</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Завданнями освітньої галузі є:</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формування в учнів знання про здоров’я і безпеку, здоровий і безпечний спосіб життя, фізичну культуру;</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підвищення рівня рухової активності;</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lastRenderedPageBreak/>
        <w:t>удосконалення життєво необхідних умінь та навичок, вміння використовувати їх у навчальній та повсякденній діяльності;</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усвідомлення учнями цінності життя і здоров’я, значущості здорового і безпечного способу життя та фізичної культури;</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збагачення власного досвіду учнів щодо збереження здоров’я;</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FD2955" w:rsidRPr="00FD2955" w:rsidRDefault="00FD2955" w:rsidP="00FD2955">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Здоров’язбережувальна компетентність як:</w:t>
      </w:r>
    </w:p>
    <w:p w:rsidR="00FD2955" w:rsidRPr="00FD2955" w:rsidRDefault="00FD2955" w:rsidP="00FD2955">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ключова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w:t>
      </w:r>
    </w:p>
    <w:p w:rsidR="00FD2955" w:rsidRPr="00FD2955" w:rsidRDefault="00FD2955" w:rsidP="00FD2955">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предметна - у результаті засвоєння змісту предметів освітньої галузі і оволодіння учнями відповідними компетенціями.</w:t>
      </w:r>
    </w:p>
    <w:p w:rsidR="00FD2955" w:rsidRPr="00FD2955" w:rsidRDefault="00FD2955" w:rsidP="00FD2955">
      <w:pPr>
        <w:shd w:val="clear" w:color="auto" w:fill="FFFFFF"/>
        <w:spacing w:after="210" w:line="270" w:lineRule="atLeast"/>
        <w:jc w:val="both"/>
        <w:rPr>
          <w:rFonts w:ascii="Arial" w:eastAsia="Times New Roman" w:hAnsi="Arial" w:cs="Arial"/>
          <w:color w:val="000000"/>
          <w:sz w:val="21"/>
          <w:szCs w:val="21"/>
          <w:lang w:eastAsia="uk-UA"/>
        </w:rPr>
      </w:pPr>
      <w:r w:rsidRPr="00FD2955">
        <w:rPr>
          <w:rFonts w:ascii="Arial" w:eastAsia="Times New Roman" w:hAnsi="Arial" w:cs="Arial"/>
          <w:color w:val="000000"/>
          <w:sz w:val="21"/>
          <w:szCs w:val="21"/>
          <w:lang w:eastAsia="uk-UA"/>
        </w:rPr>
        <w:t>Загальними змістовими лініями освітньої галузі "Здоров’я і фізична культура" є здоров’я, фізична культура, безпека життєдіяльності, захист Вітчизни і цивільна оборона.</w:t>
      </w:r>
    </w:p>
    <w:p w:rsidR="00F519D5" w:rsidRDefault="00F519D5"/>
    <w:sectPr w:rsidR="00F519D5" w:rsidSect="00F519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CC6"/>
    <w:multiLevelType w:val="multilevel"/>
    <w:tmpl w:val="0F0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437C"/>
    <w:multiLevelType w:val="multilevel"/>
    <w:tmpl w:val="3FB6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292A"/>
    <w:multiLevelType w:val="multilevel"/>
    <w:tmpl w:val="CB5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C7A29"/>
    <w:multiLevelType w:val="multilevel"/>
    <w:tmpl w:val="A43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F0433"/>
    <w:multiLevelType w:val="multilevel"/>
    <w:tmpl w:val="960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14BDD"/>
    <w:multiLevelType w:val="multilevel"/>
    <w:tmpl w:val="5F5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D58DB"/>
    <w:multiLevelType w:val="multilevel"/>
    <w:tmpl w:val="274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13B5D"/>
    <w:multiLevelType w:val="multilevel"/>
    <w:tmpl w:val="5D7C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53643"/>
    <w:multiLevelType w:val="multilevel"/>
    <w:tmpl w:val="EBF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D6350"/>
    <w:multiLevelType w:val="multilevel"/>
    <w:tmpl w:val="A3F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55CD3"/>
    <w:multiLevelType w:val="multilevel"/>
    <w:tmpl w:val="9AEE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531CC"/>
    <w:multiLevelType w:val="multilevel"/>
    <w:tmpl w:val="13E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2696A"/>
    <w:multiLevelType w:val="multilevel"/>
    <w:tmpl w:val="AFA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04A87"/>
    <w:multiLevelType w:val="multilevel"/>
    <w:tmpl w:val="C0B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B5627"/>
    <w:multiLevelType w:val="multilevel"/>
    <w:tmpl w:val="ABA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20313"/>
    <w:multiLevelType w:val="multilevel"/>
    <w:tmpl w:val="31A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D475E"/>
    <w:multiLevelType w:val="multilevel"/>
    <w:tmpl w:val="309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017582"/>
    <w:multiLevelType w:val="multilevel"/>
    <w:tmpl w:val="7AC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A2583"/>
    <w:multiLevelType w:val="multilevel"/>
    <w:tmpl w:val="8E8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8"/>
  </w:num>
  <w:num w:numId="4">
    <w:abstractNumId w:val="4"/>
  </w:num>
  <w:num w:numId="5">
    <w:abstractNumId w:val="0"/>
  </w:num>
  <w:num w:numId="6">
    <w:abstractNumId w:val="5"/>
  </w:num>
  <w:num w:numId="7">
    <w:abstractNumId w:val="1"/>
  </w:num>
  <w:num w:numId="8">
    <w:abstractNumId w:val="6"/>
  </w:num>
  <w:num w:numId="9">
    <w:abstractNumId w:val="15"/>
  </w:num>
  <w:num w:numId="10">
    <w:abstractNumId w:val="13"/>
  </w:num>
  <w:num w:numId="11">
    <w:abstractNumId w:val="12"/>
  </w:num>
  <w:num w:numId="12">
    <w:abstractNumId w:val="16"/>
  </w:num>
  <w:num w:numId="13">
    <w:abstractNumId w:val="7"/>
  </w:num>
  <w:num w:numId="14">
    <w:abstractNumId w:val="9"/>
  </w:num>
  <w:num w:numId="15">
    <w:abstractNumId w:val="10"/>
  </w:num>
  <w:num w:numId="16">
    <w:abstractNumId w:val="2"/>
  </w:num>
  <w:num w:numId="17">
    <w:abstractNumId w:val="3"/>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2955"/>
    <w:rsid w:val="00F519D5"/>
    <w:rsid w:val="00FD29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D5"/>
  </w:style>
  <w:style w:type="paragraph" w:styleId="2">
    <w:name w:val="heading 2"/>
    <w:basedOn w:val="a"/>
    <w:link w:val="20"/>
    <w:uiPriority w:val="9"/>
    <w:qFormat/>
    <w:rsid w:val="00FD295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95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D29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2955"/>
    <w:rPr>
      <w:b/>
      <w:bCs/>
    </w:rPr>
  </w:style>
  <w:style w:type="character" w:styleId="a5">
    <w:name w:val="Hyperlink"/>
    <w:basedOn w:val="a0"/>
    <w:uiPriority w:val="99"/>
    <w:semiHidden/>
    <w:unhideWhenUsed/>
    <w:rsid w:val="00FD2955"/>
    <w:rPr>
      <w:color w:val="0000FF"/>
      <w:u w:val="single"/>
    </w:rPr>
  </w:style>
  <w:style w:type="character" w:customStyle="1" w:styleId="apple-converted-space">
    <w:name w:val="apple-converted-space"/>
    <w:basedOn w:val="a0"/>
    <w:rsid w:val="00FD2955"/>
  </w:style>
</w:styles>
</file>

<file path=word/webSettings.xml><?xml version="1.0" encoding="utf-8"?>
<w:webSettings xmlns:r="http://schemas.openxmlformats.org/officeDocument/2006/relationships" xmlns:w="http://schemas.openxmlformats.org/wordprocessingml/2006/main">
  <w:divs>
    <w:div w:id="14694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Ser_osv/17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280/28030/D_2_standart_1.rar" TargetMode="External"/><Relationship Id="rId5" Type="http://schemas.openxmlformats.org/officeDocument/2006/relationships/hyperlink" Target="http://osvita.ua/doc/files/news/280/28030/D_1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27839</Words>
  <Characters>15869</Characters>
  <Application>Microsoft Office Word</Application>
  <DocSecurity>0</DocSecurity>
  <Lines>132</Lines>
  <Paragraphs>87</Paragraphs>
  <ScaleCrop>false</ScaleCrop>
  <Company/>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2016-01-18T17:43:00Z</dcterms:created>
  <dcterms:modified xsi:type="dcterms:W3CDTF">2016-01-18T17:44:00Z</dcterms:modified>
</cp:coreProperties>
</file>